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0" w:after="0" w:afterAutospacing="0" w:line="600" w:lineRule="atLeast"/>
        <w:ind w:right="0"/>
        <w:jc w:val="both"/>
        <w:rPr>
          <w:rFonts w:hint="eastAsia" w:ascii="方正小标宋_GBK" w:hAnsi="方正小标宋_GBK" w:eastAsia="方正小标宋_GBK" w:cs="方正小标宋_GBK"/>
          <w:b w:val="0"/>
          <w:i w:val="0"/>
          <w:caps w:val="0"/>
          <w:color w:val="333333"/>
          <w:spacing w:val="0"/>
          <w:sz w:val="44"/>
          <w:szCs w:val="44"/>
        </w:rPr>
      </w:pPr>
      <w:r>
        <w:rPr>
          <w:rFonts w:hint="eastAsia" w:ascii="方正小标宋_GBK" w:hAnsi="方正小标宋_GBK" w:eastAsia="方正小标宋_GBK" w:cs="方正小标宋_GBK"/>
          <w:b w:val="0"/>
          <w:i w:val="0"/>
          <w:caps w:val="0"/>
          <w:color w:val="333333"/>
          <w:spacing w:val="0"/>
          <w:sz w:val="44"/>
          <w:szCs w:val="44"/>
          <w:lang w:eastAsia="zh-CN"/>
        </w:rPr>
        <w:t>盈江县卫计系统</w:t>
      </w:r>
      <w:r>
        <w:rPr>
          <w:rFonts w:hint="eastAsia" w:ascii="方正小标宋_GBK" w:hAnsi="方正小标宋_GBK" w:eastAsia="方正小标宋_GBK" w:cs="方正小标宋_GBK"/>
          <w:b w:val="0"/>
          <w:i w:val="0"/>
          <w:caps w:val="0"/>
          <w:color w:val="333333"/>
          <w:spacing w:val="0"/>
          <w:sz w:val="44"/>
          <w:szCs w:val="44"/>
        </w:rPr>
        <w:t>2017年部门预算编制说明</w:t>
      </w:r>
    </w:p>
    <w:p>
      <w:pPr>
        <w:pStyle w:val="4"/>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rPr>
        <w:t>按照预算管理的相关规定，</w:t>
      </w:r>
      <w:r>
        <w:rPr>
          <w:rFonts w:hint="eastAsia" w:ascii="方正仿宋_GBK" w:hAnsi="方正仿宋_GBK" w:eastAsia="方正仿宋_GBK" w:cs="方正仿宋_GBK"/>
          <w:b w:val="0"/>
          <w:i w:val="0"/>
          <w:caps w:val="0"/>
          <w:color w:val="333333"/>
          <w:spacing w:val="0"/>
          <w:sz w:val="32"/>
          <w:szCs w:val="32"/>
          <w:lang w:eastAsia="zh-CN"/>
        </w:rPr>
        <w:t>盈江县卫生系统</w:t>
      </w:r>
      <w:r>
        <w:rPr>
          <w:rFonts w:hint="eastAsia" w:ascii="方正仿宋_GBK" w:hAnsi="方正仿宋_GBK" w:eastAsia="方正仿宋_GBK" w:cs="方正仿宋_GBK"/>
          <w:b w:val="0"/>
          <w:i w:val="0"/>
          <w:caps w:val="0"/>
          <w:color w:val="333333"/>
          <w:spacing w:val="0"/>
          <w:sz w:val="32"/>
          <w:szCs w:val="32"/>
        </w:rPr>
        <w:t>部门预算的编制实行全口径预算管理，即收入和支出全部纳入预算管理，全部收入和支出都反映在预算中。</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i w:val="0"/>
          <w:caps w:val="0"/>
          <w:color w:val="333333"/>
          <w:spacing w:val="0"/>
          <w:kern w:val="0"/>
          <w:sz w:val="32"/>
          <w:szCs w:val="32"/>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一）贯彻执行国家和省州县有关卫生计生、中医药工作发展的法律法规和方针政策，拟订全县卫生计生以及促进中医药事业发展的规划草案。协助推进医药卫生体制改革，统筹规划卫生计生服务资源配置，指导全县卫生计生系统规划的编制和实施。</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二）负责制定疾病预防控制规划、免疫规划、严重危害人民健康的公共卫生问题的干预措施并组织实施，根据国家检疫传染病和监测传染病目录，制定卫生应急和紧急医学救援预案，做好突发公共卫生事件监测和风险评估，组织和指导突发公共卫生事件预防控制和各类突发公共事件的处置、医疗卫生救援。按程序报告法定报告传染病疫情信息、突发公共卫生事件应急处置信息。承担盈江县爱国卫生运动委员会的具体工作。</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三）贯彻实施职责范围内的职业卫生、放射卫生、环境卫生、学校卫生、公共场所卫生、饮用水卫生管理规范、标准和政策措施，组织开展相关监测、调查、评估和监督，负责传染病防治监督。组织开展食品安全风险监测和评估工作。</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（四）拟订并组织实施基层卫生计生服务、妇幼卫生发展规划和政策措施，指导基层卫生计生、妇幼卫生服务体系建设，推进基本公共卫生计生服务均等化，完善基层运行新机制和乡村医生管理制度。</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五）贯彻执行医疗机构和医疗服务全行业管理办法并监督实施。执行医疗机构及其医疗服务、医疗技术、医疗质量、医疗安全以及采供血机构管理的规范、标准。会同有关部门贯彻执行国家卫生计生专业技术人员准入、资格标准，组织实施卫生专业技术人员执业规则和服务规范，建立医疗服务评价和监督管理体系。</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六）负责组织推进县级公立医院综合改革，建立公益性为导向的绩效考核和评价运行机制，构建和谐医患关系，提出医疗服务和药品价格政策的建议。贯彻落实国家药物政策和基本药物制度，执行国家药品法典和国家基本药物目录，贯彻执行药物采购、配送、使用的政策措施。</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七）负责综合管理中医（含中西医结合、民族医，下同）的医疗、教育、科研工作；负责中医药继承与创新、中医药人才培养、中医药对外交流合作；促进中药资源的保护开发与合理利用；规划、指导中医医疗机构布局和综合改革。</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八）贯彻落实国家和省、州计划生育政策，组织实施促进出生人口性别平衡的政策措施，组织监测计划生育发展动态，负责计划生育相关数据采集和分析研究，提出发布计划生育安全预警预报信息建议。制定计划生育技术服务管理制度并监督实施。制定优生优育和提高出生人口素质的政策措施并组织实施，推动实施计划生育生殖健康促进计划，降低出生缺陷人口数量。</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九）组织实施、建立完善计划生育利益导向、计划生育特殊困难家庭扶助和促进计划生育家庭发展等机制。负责协调推进有关部门、群众团体履行计划生育工作相关职责，建立与经济社会发展政策的衔接机制，提出稳定低生育水平政策措施。</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（十）制定流动人口计划生育服务管理制度并组织落实，推动建立流动人口卫生计生信息共享和公共服务均等化工作机制。</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十一）组织拟订卫生计生人才发展规划，指导卫生计生人才队伍建设，加强全科医生等急需紧缺专业人才培养，按照国家标准，建立完善住院医师、专科医师和计划生育技术服务规范化培训制度。组织指导在职医学教育和继续医学教育。</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（十二）指导卫生计生工作，完善综合监督执法体系，规范执法行为，监督检查有关法律法规和政策措施的落实，组织查处重大违法行为。落实计划生育一票否决制。</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（十三）组织拟订卫生计生科技发展规划，组织实施卫生计生相关科研项目。负责卫生计生宣传、健康教育、健康促进等工作，依法组织实施统计调查，参与全县人口基础信息库建设。</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（十四）承担县人民政府防治艾滋病工作委员会的日常工作，负责组织协调、指导、考核防艾委成员单位对艾滋病实施防控和干预的工作，控制艾滋病的传播和蔓延。</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（十五）承办县人民政府交办的其他事项。</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i w:val="0"/>
          <w:caps w:val="0"/>
          <w:color w:val="333333"/>
          <w:spacing w:val="0"/>
          <w:kern w:val="0"/>
          <w:sz w:val="32"/>
          <w:szCs w:val="32"/>
          <w:lang w:val="en-US" w:eastAsia="zh-CN" w:bidi="ar"/>
        </w:rPr>
        <w:t>二、部门预算编制情况</w:t>
      </w:r>
    </w:p>
    <w:p>
      <w:pPr>
        <w:pStyle w:val="4"/>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rPr>
        <w:t>盈江县</w:t>
      </w:r>
      <w:r>
        <w:rPr>
          <w:rFonts w:hint="eastAsia" w:ascii="方正仿宋_GBK" w:hAnsi="方正仿宋_GBK" w:eastAsia="方正仿宋_GBK" w:cs="方正仿宋_GBK"/>
          <w:b w:val="0"/>
          <w:i w:val="0"/>
          <w:caps w:val="0"/>
          <w:color w:val="333333"/>
          <w:spacing w:val="0"/>
          <w:sz w:val="32"/>
          <w:szCs w:val="32"/>
          <w:lang w:eastAsia="zh-CN"/>
        </w:rPr>
        <w:t>卫计系统</w:t>
      </w:r>
      <w:r>
        <w:rPr>
          <w:rFonts w:hint="eastAsia" w:ascii="方正仿宋_GBK" w:hAnsi="方正仿宋_GBK" w:eastAsia="方正仿宋_GBK" w:cs="方正仿宋_GBK"/>
          <w:b w:val="0"/>
          <w:i w:val="0"/>
          <w:caps w:val="0"/>
          <w:color w:val="333333"/>
          <w:spacing w:val="0"/>
          <w:sz w:val="32"/>
          <w:szCs w:val="32"/>
        </w:rPr>
        <w:t>编制2017年部门预算的指导思想、基本原则、编制方法、总体思路等内容。</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i w:val="0"/>
          <w:caps w:val="0"/>
          <w:color w:val="333333"/>
          <w:spacing w:val="0"/>
          <w:kern w:val="0"/>
          <w:sz w:val="32"/>
          <w:szCs w:val="32"/>
          <w:lang w:val="en-US" w:eastAsia="zh-CN" w:bidi="ar"/>
        </w:rPr>
        <w:t>三、部门基本情况</w:t>
      </w:r>
    </w:p>
    <w:p>
      <w:pPr>
        <w:spacing w:line="600" w:lineRule="exact"/>
        <w:ind w:firstLine="640" w:firstLineChars="200"/>
        <w:rPr>
          <w:rFonts w:eastAsia="方正仿宋_GBK"/>
          <w:kern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纳入2017年部门预算编报的单位共22个，</w:t>
      </w:r>
      <w:r>
        <w:rPr>
          <w:rFonts w:hint="eastAsia" w:eastAsia="方正仿宋_GBK"/>
          <w:sz w:val="32"/>
          <w:szCs w:val="32"/>
          <w:lang w:val="en-US" w:eastAsia="zh-CN"/>
        </w:rPr>
        <w:t>1个行政单位（</w:t>
      </w:r>
      <w:r>
        <w:rPr>
          <w:rFonts w:eastAsia="方正仿宋_GBK"/>
          <w:sz w:val="32"/>
          <w:szCs w:val="32"/>
        </w:rPr>
        <w:t>盈江县卫生和计划生育局</w:t>
      </w:r>
      <w:r>
        <w:rPr>
          <w:rFonts w:hint="eastAsia" w:eastAsia="方正仿宋_GBK"/>
          <w:sz w:val="32"/>
          <w:szCs w:val="32"/>
          <w:lang w:val="en-US" w:eastAsia="zh-CN"/>
        </w:rPr>
        <w:t>）</w:t>
      </w:r>
      <w:r>
        <w:rPr>
          <w:rFonts w:eastAsia="方正仿宋_GBK"/>
          <w:sz w:val="32"/>
          <w:szCs w:val="32"/>
        </w:rPr>
        <w:t>，</w:t>
      </w:r>
      <w:r>
        <w:rPr>
          <w:rFonts w:hint="eastAsia" w:eastAsia="方正仿宋_GBK"/>
          <w:sz w:val="32"/>
          <w:szCs w:val="32"/>
          <w:lang w:val="en-US" w:eastAsia="zh-CN"/>
        </w:rPr>
        <w:t>21个事业单位（盈江县人民医院、盈江县中医院、盈江县疾病预防控制中心、盈江县卫生监督大队、盈江县妇幼保健计划生育服务中心、支那乡卫生院、平原镇卫生院、平原镇社区服务中心、盏西镇中心卫生院、芒章乡卫生院、新城乡卫生院、旧城镇中心卫生院、油松岭乡卫生院、弄璋镇中心卫生院、勐弄乡卫生院、苏典乡卫生院、卡场镇中心卫生院、太平镇中心卫生院、铜壁关乡卫生院、那邦镇卫生院、昔马镇卫生院）</w:t>
      </w:r>
      <w:r>
        <w:rPr>
          <w:rFonts w:hint="eastAsia" w:eastAsia="方正仿宋_GBK"/>
          <w:sz w:val="32"/>
          <w:szCs w:val="32"/>
          <w:lang w:eastAsia="zh-CN"/>
        </w:rPr>
        <w:t>。全县卫计系统</w:t>
      </w:r>
      <w:r>
        <w:rPr>
          <w:rFonts w:eastAsia="方正仿宋_GBK"/>
          <w:sz w:val="32"/>
          <w:szCs w:val="32"/>
        </w:rPr>
        <w:t>部门</w:t>
      </w:r>
      <w:r>
        <w:rPr>
          <w:rFonts w:eastAsia="方正仿宋_GBK"/>
          <w:kern w:val="0"/>
          <w:sz w:val="32"/>
          <w:szCs w:val="32"/>
        </w:rPr>
        <w:t>在职在编实有人数</w:t>
      </w:r>
      <w:r>
        <w:rPr>
          <w:rFonts w:hint="eastAsia" w:eastAsia="方正仿宋_GBK"/>
          <w:sz w:val="32"/>
          <w:szCs w:val="32"/>
          <w:lang w:val="en-US" w:eastAsia="zh-CN"/>
        </w:rPr>
        <w:t>792</w:t>
      </w:r>
      <w:r>
        <w:rPr>
          <w:rFonts w:eastAsia="方正仿宋_GBK"/>
          <w:kern w:val="0"/>
          <w:sz w:val="32"/>
          <w:szCs w:val="32"/>
        </w:rPr>
        <w:t>人，其中：财政全供养</w:t>
      </w:r>
      <w:r>
        <w:rPr>
          <w:rFonts w:hint="eastAsia" w:eastAsia="方正仿宋_GBK"/>
          <w:sz w:val="32"/>
          <w:szCs w:val="32"/>
          <w:lang w:val="en-US" w:eastAsia="zh-CN"/>
        </w:rPr>
        <w:t>792</w:t>
      </w:r>
      <w:r>
        <w:rPr>
          <w:rFonts w:eastAsia="方正仿宋_GBK"/>
          <w:kern w:val="0"/>
          <w:sz w:val="32"/>
          <w:szCs w:val="32"/>
        </w:rPr>
        <w:t>人</w:t>
      </w:r>
      <w:r>
        <w:rPr>
          <w:rFonts w:hint="eastAsia" w:eastAsia="方正仿宋_GBK"/>
          <w:kern w:val="0"/>
          <w:sz w:val="32"/>
          <w:szCs w:val="32"/>
          <w:lang w:eastAsia="zh-CN"/>
        </w:rPr>
        <w:t>。</w:t>
      </w:r>
      <w:r>
        <w:rPr>
          <w:rFonts w:eastAsia="方正仿宋_GBK"/>
          <w:kern w:val="0"/>
          <w:sz w:val="32"/>
          <w:szCs w:val="32"/>
        </w:rPr>
        <w:t>离退休人员</w:t>
      </w:r>
      <w:r>
        <w:rPr>
          <w:rFonts w:hint="eastAsia" w:eastAsia="方正仿宋_GBK"/>
          <w:sz w:val="32"/>
          <w:szCs w:val="32"/>
          <w:lang w:val="en-US" w:eastAsia="zh-CN"/>
        </w:rPr>
        <w:t>317</w:t>
      </w:r>
      <w:r>
        <w:rPr>
          <w:rFonts w:eastAsia="方正仿宋_GBK"/>
          <w:kern w:val="0"/>
          <w:sz w:val="32"/>
          <w:szCs w:val="32"/>
        </w:rPr>
        <w:t>人，其中：离休</w:t>
      </w:r>
      <w:r>
        <w:rPr>
          <w:rFonts w:hint="eastAsia" w:eastAsia="方正仿宋_GBK"/>
          <w:sz w:val="32"/>
          <w:szCs w:val="32"/>
          <w:lang w:val="en-US" w:eastAsia="zh-CN"/>
        </w:rPr>
        <w:t>2</w:t>
      </w:r>
      <w:r>
        <w:rPr>
          <w:rFonts w:eastAsia="方正仿宋_GBK"/>
          <w:kern w:val="0"/>
          <w:sz w:val="32"/>
          <w:szCs w:val="32"/>
        </w:rPr>
        <w:t>人，退休</w:t>
      </w:r>
      <w:r>
        <w:rPr>
          <w:rFonts w:hint="eastAsia" w:eastAsia="方正仿宋_GBK"/>
          <w:sz w:val="32"/>
          <w:szCs w:val="32"/>
          <w:lang w:val="en-US" w:eastAsia="zh-CN"/>
        </w:rPr>
        <w:t>315</w:t>
      </w:r>
      <w:r>
        <w:rPr>
          <w:rFonts w:eastAsia="方正仿宋_GBK"/>
          <w:kern w:val="0"/>
          <w:sz w:val="32"/>
          <w:szCs w:val="32"/>
        </w:rPr>
        <w:t>人。在编实有车辆</w:t>
      </w:r>
      <w:r>
        <w:rPr>
          <w:rFonts w:hint="eastAsia" w:eastAsia="方正仿宋_GBK"/>
          <w:sz w:val="32"/>
          <w:szCs w:val="32"/>
          <w:lang w:val="en-US" w:eastAsia="zh-CN"/>
        </w:rPr>
        <w:t>52</w:t>
      </w:r>
      <w:r>
        <w:rPr>
          <w:rFonts w:eastAsia="方正仿宋_GBK"/>
          <w:kern w:val="0"/>
          <w:sz w:val="32"/>
          <w:szCs w:val="32"/>
        </w:rPr>
        <w:t>辆。</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bCs w:val="0"/>
          <w:i w:val="0"/>
          <w:caps w:val="0"/>
          <w:color w:val="333333"/>
          <w:spacing w:val="0"/>
          <w:sz w:val="32"/>
          <w:szCs w:val="32"/>
        </w:rPr>
      </w:pPr>
      <w:r>
        <w:rPr>
          <w:rFonts w:hint="eastAsia" w:ascii="方正仿宋_GBK" w:hAnsi="方正仿宋_GBK" w:eastAsia="方正仿宋_GBK" w:cs="方正仿宋_GBK"/>
          <w:b/>
          <w:bCs w:val="0"/>
          <w:i w:val="0"/>
          <w:caps w:val="0"/>
          <w:color w:val="333333"/>
          <w:spacing w:val="0"/>
          <w:kern w:val="0"/>
          <w:sz w:val="32"/>
          <w:szCs w:val="32"/>
          <w:lang w:val="en-US" w:eastAsia="zh-CN" w:bidi="ar"/>
        </w:rPr>
        <w:t>四、2017年部门预算收支情况</w:t>
      </w:r>
    </w:p>
    <w:p>
      <w:pPr>
        <w:keepNext w:val="0"/>
        <w:keepLines w:val="0"/>
        <w:widowControl/>
        <w:suppressLineNumbers w:val="0"/>
        <w:spacing w:before="0" w:beforeAutospacing="0" w:after="0" w:afterAutospacing="0" w:line="600" w:lineRule="atLeast"/>
        <w:ind w:left="0" w:right="0" w:firstLine="960" w:firstLineChars="300"/>
        <w:jc w:val="both"/>
        <w:rPr>
          <w:rFonts w:hint="eastAsia" w:ascii="方正仿宋_GBK" w:hAnsi="方正仿宋_GBK" w:eastAsia="方正仿宋_GBK" w:cs="方正仿宋_GBK"/>
          <w:b w:val="0"/>
          <w:i w:val="0"/>
          <w:caps w:val="0"/>
          <w:color w:val="333333"/>
          <w:spacing w:val="0"/>
          <w:sz w:val="32"/>
          <w:szCs w:val="32"/>
        </w:rPr>
      </w:pPr>
      <w:r>
        <w:rPr>
          <w:rFonts w:hint="eastAsia" w:ascii="方正仿宋_GBK" w:hAnsi="方正仿宋_GBK" w:eastAsia="方正仿宋_GBK" w:cs="方正仿宋_GBK"/>
          <w:b w:val="0"/>
          <w:i w:val="0"/>
          <w:caps w:val="0"/>
          <w:color w:val="333333"/>
          <w:spacing w:val="0"/>
          <w:kern w:val="0"/>
          <w:sz w:val="32"/>
          <w:szCs w:val="32"/>
          <w:lang w:val="en-US" w:eastAsia="zh-CN" w:bidi="ar"/>
        </w:rPr>
        <w:t>2017年盈江县卫计系统预算总收入12960.88万元，其中：一般公共预算8644.66万元，政府性基金收入0万元，国有资本经营收益0万元，事业收入0万元，事业单位经营收入4316.22万元，其他收入0万元。2016年盈江县卫计系统预算总收入11947.14万元，其中：一般公共预算5806.63万元，政府性基金收入0万元，国有资本经营收益0万元，事业收入0万元，事业单位经营收入6140.51万元，其他收入0万元。2017年卫计系统预算总收入比2016年增加1013.74万元，增加比例为8.49%。增加原因是2017年卫计系统人员增加，工资、运转经费增加。</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kern w:val="0"/>
          <w:sz w:val="32"/>
          <w:szCs w:val="32"/>
          <w:lang w:val="en-US" w:eastAsia="zh-CN" w:bidi="ar"/>
        </w:rPr>
      </w:pPr>
      <w:r>
        <w:rPr>
          <w:rFonts w:hint="eastAsia" w:ascii="方正仿宋_GBK" w:hAnsi="方正仿宋_GBK" w:eastAsia="方正仿宋_GBK" w:cs="方正仿宋_GBK"/>
          <w:b w:val="0"/>
          <w:i w:val="0"/>
          <w:caps w:val="0"/>
          <w:color w:val="333333"/>
          <w:spacing w:val="0"/>
          <w:kern w:val="0"/>
          <w:sz w:val="32"/>
          <w:szCs w:val="32"/>
          <w:lang w:val="en-US" w:eastAsia="zh-CN" w:bidi="ar"/>
        </w:rPr>
        <w:t>2017年部门财政拨款收入8644.66万元，其中，本年收入8644.66万元。本年收入中，一般公共预算财政拨款8644.66万元（本级财力8568.34万元，专项收入0万元，执法办案补助0万元，收费成本补偿0万元，财政专户管理的收入0万元，国有资源（资产）有偿使用收入0万元），政府性基金财政拨款0万元，国有资本经营收益财政拨款0万元。2016年部门财政拨款收入5806.63万元。2017年部门财政拨款收入比2016年增加2838.03万元，增加比例为48.88%，增加原因为2017年将上年结转纳入财政预算，卫计系统人员增加，工资、运转经费增加。</w:t>
      </w: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kern w:val="0"/>
          <w:sz w:val="32"/>
          <w:szCs w:val="32"/>
          <w:lang w:val="en-US" w:eastAsia="zh-CN" w:bidi="ar"/>
        </w:rPr>
      </w:pPr>
      <w:r>
        <w:rPr>
          <w:rFonts w:hint="eastAsia" w:ascii="方正仿宋_GBK" w:hAnsi="方正仿宋_GBK" w:eastAsia="方正仿宋_GBK" w:cs="方正仿宋_GBK"/>
          <w:b w:val="0"/>
          <w:i w:val="0"/>
          <w:caps w:val="0"/>
          <w:color w:val="333333"/>
          <w:spacing w:val="0"/>
          <w:kern w:val="0"/>
          <w:sz w:val="32"/>
          <w:szCs w:val="32"/>
          <w:lang w:val="en-US" w:eastAsia="zh-CN" w:bidi="ar"/>
        </w:rPr>
        <w:t>2017年部门预算总支出12960.88万元，其中：基本支出8226.38万元，</w:t>
      </w:r>
      <w:r>
        <w:rPr>
          <w:rFonts w:hint="eastAsia" w:ascii="方正仿宋_GBK" w:hAnsi="方正仿宋_GBK" w:eastAsia="方正仿宋_GBK" w:cs="方正仿宋_GBK"/>
          <w:b w:val="0"/>
          <w:i w:val="0"/>
          <w:caps w:val="0"/>
          <w:color w:val="333333"/>
          <w:spacing w:val="0"/>
          <w:sz w:val="32"/>
          <w:szCs w:val="32"/>
        </w:rPr>
        <w:t>主要是</w:t>
      </w:r>
      <w:r>
        <w:rPr>
          <w:rFonts w:hint="eastAsia" w:ascii="方正仿宋_GBK" w:hAnsi="方正仿宋_GBK" w:eastAsia="方正仿宋_GBK" w:cs="方正仿宋_GBK"/>
          <w:b w:val="0"/>
          <w:i w:val="0"/>
          <w:caps w:val="0"/>
          <w:color w:val="333333"/>
          <w:spacing w:val="0"/>
          <w:sz w:val="32"/>
          <w:szCs w:val="32"/>
          <w:lang w:eastAsia="zh-CN"/>
        </w:rPr>
        <w:t>用于保单位日常运转经费，</w:t>
      </w:r>
      <w:r>
        <w:rPr>
          <w:rFonts w:hint="eastAsia" w:ascii="方正仿宋_GBK" w:hAnsi="方正仿宋_GBK" w:eastAsia="方正仿宋_GBK" w:cs="方正仿宋_GBK"/>
          <w:b w:val="0"/>
          <w:i w:val="0"/>
          <w:caps w:val="0"/>
          <w:color w:val="333333"/>
          <w:spacing w:val="0"/>
          <w:sz w:val="32"/>
          <w:szCs w:val="32"/>
        </w:rPr>
        <w:t>在职人员</w:t>
      </w:r>
      <w:r>
        <w:rPr>
          <w:rFonts w:hint="eastAsia" w:ascii="方正仿宋_GBK" w:hAnsi="方正仿宋_GBK" w:eastAsia="方正仿宋_GBK" w:cs="方正仿宋_GBK"/>
          <w:b w:val="0"/>
          <w:i w:val="0"/>
          <w:caps w:val="0"/>
          <w:color w:val="333333"/>
          <w:spacing w:val="0"/>
          <w:sz w:val="32"/>
          <w:szCs w:val="32"/>
          <w:lang w:eastAsia="zh-CN"/>
        </w:rPr>
        <w:t>工资</w:t>
      </w:r>
      <w:r>
        <w:rPr>
          <w:rFonts w:hint="eastAsia" w:ascii="方正仿宋_GBK" w:hAnsi="方正仿宋_GBK" w:eastAsia="方正仿宋_GBK" w:cs="方正仿宋_GBK"/>
          <w:b w:val="0"/>
          <w:i w:val="0"/>
          <w:caps w:val="0"/>
          <w:color w:val="333333"/>
          <w:spacing w:val="0"/>
          <w:sz w:val="32"/>
          <w:szCs w:val="32"/>
        </w:rPr>
        <w:t>、离退休人员</w:t>
      </w:r>
      <w:r>
        <w:rPr>
          <w:rFonts w:hint="eastAsia" w:ascii="方正仿宋_GBK" w:hAnsi="方正仿宋_GBK" w:eastAsia="方正仿宋_GBK" w:cs="方正仿宋_GBK"/>
          <w:b w:val="0"/>
          <w:i w:val="0"/>
          <w:caps w:val="0"/>
          <w:color w:val="333333"/>
          <w:spacing w:val="0"/>
          <w:sz w:val="32"/>
          <w:szCs w:val="32"/>
          <w:lang w:eastAsia="zh-CN"/>
        </w:rPr>
        <w:t>工资等；</w:t>
      </w:r>
      <w:r>
        <w:rPr>
          <w:rFonts w:hint="eastAsia" w:ascii="方正仿宋_GBK" w:hAnsi="方正仿宋_GBK" w:eastAsia="方正仿宋_GBK" w:cs="方正仿宋_GBK"/>
          <w:b w:val="0"/>
          <w:i w:val="0"/>
          <w:caps w:val="0"/>
          <w:color w:val="333333"/>
          <w:spacing w:val="0"/>
          <w:kern w:val="0"/>
          <w:sz w:val="32"/>
          <w:szCs w:val="32"/>
          <w:lang w:val="en-US" w:eastAsia="zh-CN" w:bidi="ar"/>
        </w:rPr>
        <w:t>项目支出418.28万元，</w:t>
      </w:r>
      <w:r>
        <w:rPr>
          <w:rFonts w:hint="eastAsia" w:ascii="方正仿宋_GBK" w:hAnsi="方正仿宋_GBK" w:eastAsia="方正仿宋_GBK" w:cs="方正仿宋_GBK"/>
          <w:b w:val="0"/>
          <w:i w:val="0"/>
          <w:caps w:val="0"/>
          <w:color w:val="333333"/>
          <w:spacing w:val="0"/>
          <w:sz w:val="32"/>
          <w:szCs w:val="32"/>
        </w:rPr>
        <w:t>主要</w:t>
      </w:r>
      <w:r>
        <w:rPr>
          <w:rFonts w:hint="eastAsia" w:ascii="方正仿宋_GBK" w:hAnsi="方正仿宋_GBK" w:eastAsia="方正仿宋_GBK" w:cs="方正仿宋_GBK"/>
          <w:b w:val="0"/>
          <w:i w:val="0"/>
          <w:caps w:val="0"/>
          <w:color w:val="333333"/>
          <w:spacing w:val="0"/>
          <w:sz w:val="32"/>
          <w:szCs w:val="32"/>
          <w:lang w:eastAsia="zh-CN"/>
        </w:rPr>
        <w:t>用于基层医疗卫生机构建设项目拼配资金，卫计系统</w:t>
      </w:r>
      <w:r>
        <w:rPr>
          <w:rFonts w:hint="eastAsia" w:ascii="方正仿宋_GBK" w:hAnsi="方正仿宋_GBK" w:eastAsia="方正仿宋_GBK" w:cs="方正仿宋_GBK"/>
          <w:b w:val="0"/>
          <w:i w:val="0"/>
          <w:caps w:val="0"/>
          <w:color w:val="333333"/>
          <w:spacing w:val="0"/>
          <w:sz w:val="32"/>
          <w:szCs w:val="32"/>
        </w:rPr>
        <w:t>基本公共卫生、基本药物制度、村医补助</w:t>
      </w:r>
      <w:r>
        <w:rPr>
          <w:rFonts w:hint="eastAsia" w:ascii="方正仿宋_GBK" w:hAnsi="方正仿宋_GBK" w:eastAsia="方正仿宋_GBK" w:cs="方正仿宋_GBK"/>
          <w:b w:val="0"/>
          <w:i w:val="0"/>
          <w:caps w:val="0"/>
          <w:color w:val="333333"/>
          <w:spacing w:val="0"/>
          <w:sz w:val="32"/>
          <w:szCs w:val="32"/>
          <w:lang w:eastAsia="zh-CN"/>
        </w:rPr>
        <w:t>，</w:t>
      </w:r>
      <w:r>
        <w:rPr>
          <w:rFonts w:hint="eastAsia" w:ascii="方正仿宋_GBK" w:hAnsi="方正仿宋_GBK" w:eastAsia="方正仿宋_GBK" w:cs="方正仿宋_GBK"/>
          <w:b w:val="0"/>
          <w:i w:val="0"/>
          <w:caps w:val="0"/>
          <w:color w:val="333333"/>
          <w:spacing w:val="0"/>
          <w:kern w:val="0"/>
          <w:sz w:val="32"/>
          <w:szCs w:val="32"/>
          <w:lang w:val="en-US" w:eastAsia="zh-CN" w:bidi="ar"/>
        </w:rPr>
        <w:t>防治艾滋病工作经费、计生系列保险、订单定向医学人财培养等</w:t>
      </w:r>
      <w:r>
        <w:rPr>
          <w:rFonts w:hint="eastAsia" w:ascii="方正仿宋_GBK" w:hAnsi="方正仿宋_GBK" w:eastAsia="方正仿宋_GBK" w:cs="方正仿宋_GBK"/>
          <w:b w:val="0"/>
          <w:i w:val="0"/>
          <w:caps w:val="0"/>
          <w:color w:val="333333"/>
          <w:spacing w:val="0"/>
          <w:sz w:val="32"/>
          <w:szCs w:val="32"/>
          <w:lang w:eastAsia="zh-CN"/>
        </w:rPr>
        <w:t>；</w:t>
      </w:r>
      <w:r>
        <w:rPr>
          <w:rFonts w:hint="eastAsia" w:ascii="方正仿宋_GBK" w:hAnsi="方正仿宋_GBK" w:eastAsia="方正仿宋_GBK" w:cs="方正仿宋_GBK"/>
          <w:b w:val="0"/>
          <w:i w:val="0"/>
          <w:caps w:val="0"/>
          <w:color w:val="333333"/>
          <w:spacing w:val="0"/>
          <w:kern w:val="0"/>
          <w:sz w:val="32"/>
          <w:szCs w:val="32"/>
          <w:lang w:val="en-US" w:eastAsia="zh-CN" w:bidi="ar"/>
        </w:rPr>
        <w:t>事业单位经营支出4316.22万元，主要用于基层医疗卫生机构日常运转等。2016年盈江县卫计系统部门预算总支出11947.14万元，其中：基本支出5512.37万元，</w:t>
      </w:r>
      <w:r>
        <w:rPr>
          <w:rFonts w:hint="eastAsia" w:ascii="方正仿宋_GBK" w:hAnsi="方正仿宋_GBK" w:eastAsia="方正仿宋_GBK" w:cs="方正仿宋_GBK"/>
          <w:b w:val="0"/>
          <w:i w:val="0"/>
          <w:caps w:val="0"/>
          <w:color w:val="333333"/>
          <w:spacing w:val="0"/>
          <w:sz w:val="32"/>
          <w:szCs w:val="32"/>
        </w:rPr>
        <w:t>主要是</w:t>
      </w:r>
      <w:r>
        <w:rPr>
          <w:rFonts w:hint="eastAsia" w:ascii="方正仿宋_GBK" w:hAnsi="方正仿宋_GBK" w:eastAsia="方正仿宋_GBK" w:cs="方正仿宋_GBK"/>
          <w:b w:val="0"/>
          <w:i w:val="0"/>
          <w:caps w:val="0"/>
          <w:color w:val="333333"/>
          <w:spacing w:val="0"/>
          <w:sz w:val="32"/>
          <w:szCs w:val="32"/>
          <w:lang w:eastAsia="zh-CN"/>
        </w:rPr>
        <w:t>用于保单位日常运转经费，</w:t>
      </w:r>
      <w:r>
        <w:rPr>
          <w:rFonts w:hint="eastAsia" w:ascii="方正仿宋_GBK" w:hAnsi="方正仿宋_GBK" w:eastAsia="方正仿宋_GBK" w:cs="方正仿宋_GBK"/>
          <w:b w:val="0"/>
          <w:i w:val="0"/>
          <w:caps w:val="0"/>
          <w:color w:val="333333"/>
          <w:spacing w:val="0"/>
          <w:sz w:val="32"/>
          <w:szCs w:val="32"/>
        </w:rPr>
        <w:t>在职人员</w:t>
      </w:r>
      <w:r>
        <w:rPr>
          <w:rFonts w:hint="eastAsia" w:ascii="方正仿宋_GBK" w:hAnsi="方正仿宋_GBK" w:eastAsia="方正仿宋_GBK" w:cs="方正仿宋_GBK"/>
          <w:b w:val="0"/>
          <w:i w:val="0"/>
          <w:caps w:val="0"/>
          <w:color w:val="333333"/>
          <w:spacing w:val="0"/>
          <w:sz w:val="32"/>
          <w:szCs w:val="32"/>
          <w:lang w:eastAsia="zh-CN"/>
        </w:rPr>
        <w:t>工资</w:t>
      </w:r>
      <w:r>
        <w:rPr>
          <w:rFonts w:hint="eastAsia" w:ascii="方正仿宋_GBK" w:hAnsi="方正仿宋_GBK" w:eastAsia="方正仿宋_GBK" w:cs="方正仿宋_GBK"/>
          <w:b w:val="0"/>
          <w:i w:val="0"/>
          <w:caps w:val="0"/>
          <w:color w:val="333333"/>
          <w:spacing w:val="0"/>
          <w:sz w:val="32"/>
          <w:szCs w:val="32"/>
        </w:rPr>
        <w:t>、离退休人员</w:t>
      </w:r>
      <w:r>
        <w:rPr>
          <w:rFonts w:hint="eastAsia" w:ascii="方正仿宋_GBK" w:hAnsi="方正仿宋_GBK" w:eastAsia="方正仿宋_GBK" w:cs="方正仿宋_GBK"/>
          <w:b w:val="0"/>
          <w:i w:val="0"/>
          <w:caps w:val="0"/>
          <w:color w:val="333333"/>
          <w:spacing w:val="0"/>
          <w:sz w:val="32"/>
          <w:szCs w:val="32"/>
          <w:lang w:eastAsia="zh-CN"/>
        </w:rPr>
        <w:t>工资等；</w:t>
      </w:r>
      <w:r>
        <w:rPr>
          <w:rFonts w:hint="eastAsia" w:ascii="方正仿宋_GBK" w:hAnsi="方正仿宋_GBK" w:eastAsia="方正仿宋_GBK" w:cs="方正仿宋_GBK"/>
          <w:b w:val="0"/>
          <w:i w:val="0"/>
          <w:caps w:val="0"/>
          <w:color w:val="333333"/>
          <w:spacing w:val="0"/>
          <w:kern w:val="0"/>
          <w:sz w:val="32"/>
          <w:szCs w:val="32"/>
          <w:lang w:val="en-US" w:eastAsia="zh-CN" w:bidi="ar"/>
        </w:rPr>
        <w:t>项目支出294.26万元，</w:t>
      </w:r>
      <w:r>
        <w:rPr>
          <w:rFonts w:hint="eastAsia" w:ascii="方正仿宋_GBK" w:hAnsi="方正仿宋_GBK" w:eastAsia="方正仿宋_GBK" w:cs="方正仿宋_GBK"/>
          <w:b w:val="0"/>
          <w:i w:val="0"/>
          <w:caps w:val="0"/>
          <w:color w:val="333333"/>
          <w:spacing w:val="0"/>
          <w:sz w:val="32"/>
          <w:szCs w:val="32"/>
        </w:rPr>
        <w:t>主要</w:t>
      </w:r>
      <w:r>
        <w:rPr>
          <w:rFonts w:hint="eastAsia" w:ascii="方正仿宋_GBK" w:hAnsi="方正仿宋_GBK" w:eastAsia="方正仿宋_GBK" w:cs="方正仿宋_GBK"/>
          <w:b w:val="0"/>
          <w:i w:val="0"/>
          <w:caps w:val="0"/>
          <w:color w:val="333333"/>
          <w:spacing w:val="0"/>
          <w:sz w:val="32"/>
          <w:szCs w:val="32"/>
          <w:lang w:eastAsia="zh-CN"/>
        </w:rPr>
        <w:t>用于基层医疗卫生机构建设项目拼配资金，卫计系统</w:t>
      </w:r>
      <w:r>
        <w:rPr>
          <w:rFonts w:hint="eastAsia" w:ascii="方正仿宋_GBK" w:hAnsi="方正仿宋_GBK" w:eastAsia="方正仿宋_GBK" w:cs="方正仿宋_GBK"/>
          <w:b w:val="0"/>
          <w:i w:val="0"/>
          <w:caps w:val="0"/>
          <w:color w:val="333333"/>
          <w:spacing w:val="0"/>
          <w:sz w:val="32"/>
          <w:szCs w:val="32"/>
        </w:rPr>
        <w:t>基本公共卫生、基本药物制度、村医补助</w:t>
      </w:r>
      <w:r>
        <w:rPr>
          <w:rFonts w:hint="eastAsia" w:ascii="方正仿宋_GBK" w:hAnsi="方正仿宋_GBK" w:eastAsia="方正仿宋_GBK" w:cs="方正仿宋_GBK"/>
          <w:b w:val="0"/>
          <w:i w:val="0"/>
          <w:caps w:val="0"/>
          <w:color w:val="333333"/>
          <w:spacing w:val="0"/>
          <w:sz w:val="32"/>
          <w:szCs w:val="32"/>
          <w:lang w:eastAsia="zh-CN"/>
        </w:rPr>
        <w:t>，</w:t>
      </w:r>
      <w:r>
        <w:rPr>
          <w:rFonts w:hint="eastAsia" w:ascii="方正仿宋_GBK" w:hAnsi="方正仿宋_GBK" w:eastAsia="方正仿宋_GBK" w:cs="方正仿宋_GBK"/>
          <w:b w:val="0"/>
          <w:i w:val="0"/>
          <w:caps w:val="0"/>
          <w:color w:val="333333"/>
          <w:spacing w:val="0"/>
          <w:kern w:val="0"/>
          <w:sz w:val="32"/>
          <w:szCs w:val="32"/>
          <w:lang w:val="en-US" w:eastAsia="zh-CN" w:bidi="ar"/>
        </w:rPr>
        <w:t>防治艾滋病工作经费、计生系列保险、订单定向医学人财培养等</w:t>
      </w:r>
      <w:r>
        <w:rPr>
          <w:rFonts w:hint="eastAsia" w:ascii="方正仿宋_GBK" w:hAnsi="方正仿宋_GBK" w:eastAsia="方正仿宋_GBK" w:cs="方正仿宋_GBK"/>
          <w:b w:val="0"/>
          <w:i w:val="0"/>
          <w:caps w:val="0"/>
          <w:color w:val="333333"/>
          <w:spacing w:val="0"/>
          <w:sz w:val="32"/>
          <w:szCs w:val="32"/>
          <w:lang w:eastAsia="zh-CN"/>
        </w:rPr>
        <w:t>；</w:t>
      </w:r>
      <w:r>
        <w:rPr>
          <w:rFonts w:hint="eastAsia" w:ascii="方正仿宋_GBK" w:hAnsi="方正仿宋_GBK" w:eastAsia="方正仿宋_GBK" w:cs="方正仿宋_GBK"/>
          <w:b w:val="0"/>
          <w:i w:val="0"/>
          <w:caps w:val="0"/>
          <w:color w:val="333333"/>
          <w:spacing w:val="0"/>
          <w:kern w:val="0"/>
          <w:sz w:val="32"/>
          <w:szCs w:val="32"/>
          <w:lang w:val="en-US" w:eastAsia="zh-CN" w:bidi="ar"/>
        </w:rPr>
        <w:t>事业单位经营支出6140.51万元，主要用于基层医疗卫生机构日常运转等。2017年预算支出比2016年增加1013.74万元，增加比例为8.49%。增加原因是2017年卫计系统人员增加，工资、运转经费支出增加。其中基本支出相比增加2714.01万元，增加比例为49.23%；项目支出增加124.02</w:t>
      </w:r>
      <w:bookmarkStart w:id="0" w:name="_GoBack"/>
      <w:bookmarkEnd w:id="0"/>
      <w:r>
        <w:rPr>
          <w:rFonts w:hint="eastAsia" w:ascii="方正仿宋_GBK" w:hAnsi="方正仿宋_GBK" w:eastAsia="方正仿宋_GBK" w:cs="方正仿宋_GBK"/>
          <w:b w:val="0"/>
          <w:i w:val="0"/>
          <w:caps w:val="0"/>
          <w:color w:val="333333"/>
          <w:spacing w:val="0"/>
          <w:kern w:val="0"/>
          <w:sz w:val="32"/>
          <w:szCs w:val="32"/>
          <w:lang w:val="en-US" w:eastAsia="zh-CN" w:bidi="ar"/>
        </w:rPr>
        <w:t>万元，增加比例为42.15%；事业支出减少1824.29万元，减少比例为29.71%，减少原因为财政投入加大，卫计系统事业支出减少。</w:t>
      </w:r>
    </w:p>
    <w:p>
      <w:pPr>
        <w:widowControl/>
        <w:snapToGrid w:val="0"/>
        <w:spacing w:before="100" w:after="100" w:line="600" w:lineRule="exact"/>
        <w:ind w:firstLine="643" w:firstLineChars="200"/>
        <w:jc w:val="left"/>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eastAsia="zh-CN"/>
        </w:rPr>
        <w:t>五、</w:t>
      </w:r>
      <w:r>
        <w:rPr>
          <w:rFonts w:hint="eastAsia" w:ascii="方正仿宋_GBK" w:hAnsi="方正仿宋_GBK" w:eastAsia="方正仿宋_GBK" w:cs="方正仿宋_GBK"/>
          <w:b/>
          <w:bCs/>
          <w:sz w:val="32"/>
          <w:szCs w:val="32"/>
        </w:rPr>
        <w:t>机关运行经费支出情况</w:t>
      </w:r>
    </w:p>
    <w:p>
      <w:pPr>
        <w:widowControl/>
        <w:snapToGrid w:val="0"/>
        <w:spacing w:before="100" w:after="100" w:line="360" w:lineRule="auto"/>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lang w:eastAsia="zh-CN"/>
        </w:rPr>
        <w:t>盈江县卫计系统</w:t>
      </w:r>
      <w:r>
        <w:rPr>
          <w:rFonts w:hint="eastAsia" w:ascii="方正仿宋_GBK" w:hAnsi="方正仿宋_GBK" w:eastAsia="方正仿宋_GBK" w:cs="方正仿宋_GBK"/>
          <w:sz w:val="32"/>
          <w:szCs w:val="32"/>
          <w:lang w:val="en-US" w:eastAsia="zh-CN"/>
        </w:rPr>
        <w:t>2017</w:t>
      </w:r>
      <w:r>
        <w:rPr>
          <w:rFonts w:hint="eastAsia" w:ascii="方正仿宋_GBK" w:hAnsi="方正仿宋_GBK" w:eastAsia="方正仿宋_GBK" w:cs="方正仿宋_GBK"/>
          <w:sz w:val="32"/>
          <w:szCs w:val="32"/>
        </w:rPr>
        <w:t>年部门预算机关运行经费支出</w:t>
      </w:r>
      <w:r>
        <w:rPr>
          <w:rFonts w:hint="eastAsia" w:ascii="方正仿宋_GBK" w:hAnsi="方正仿宋_GBK" w:eastAsia="方正仿宋_GBK" w:cs="方正仿宋_GBK"/>
          <w:b w:val="0"/>
          <w:i w:val="0"/>
          <w:caps w:val="0"/>
          <w:color w:val="333333"/>
          <w:spacing w:val="0"/>
          <w:kern w:val="0"/>
          <w:sz w:val="32"/>
          <w:szCs w:val="32"/>
          <w:lang w:val="en-US" w:eastAsia="zh-CN" w:bidi="ar"/>
        </w:rPr>
        <w:t>201.24</w:t>
      </w:r>
      <w:r>
        <w:rPr>
          <w:rFonts w:hint="eastAsia" w:ascii="方正仿宋_GBK" w:hAnsi="方正仿宋_GBK" w:eastAsia="方正仿宋_GBK" w:cs="方正仿宋_GBK"/>
          <w:sz w:val="32"/>
          <w:szCs w:val="32"/>
        </w:rPr>
        <w:t>万元，</w:t>
      </w:r>
      <w:r>
        <w:rPr>
          <w:rFonts w:hint="eastAsia" w:ascii="方正仿宋_GBK" w:hAnsi="方正仿宋_GBK" w:eastAsia="方正仿宋_GBK" w:cs="方正仿宋_GBK"/>
          <w:kern w:val="0"/>
          <w:sz w:val="32"/>
          <w:szCs w:val="32"/>
        </w:rPr>
        <w:t>与上年</w:t>
      </w:r>
      <w:r>
        <w:rPr>
          <w:rFonts w:hint="eastAsia" w:ascii="方正仿宋_GBK" w:hAnsi="方正仿宋_GBK" w:eastAsia="方正仿宋_GBK" w:cs="方正仿宋_GBK"/>
          <w:kern w:val="0"/>
          <w:sz w:val="32"/>
          <w:szCs w:val="32"/>
          <w:lang w:val="en-US" w:eastAsia="zh-CN"/>
        </w:rPr>
        <w:t>51.71万元</w:t>
      </w:r>
      <w:r>
        <w:rPr>
          <w:rFonts w:hint="eastAsia" w:ascii="方正仿宋_GBK" w:hAnsi="方正仿宋_GBK" w:eastAsia="方正仿宋_GBK" w:cs="方正仿宋_GBK"/>
          <w:kern w:val="0"/>
          <w:sz w:val="32"/>
          <w:szCs w:val="32"/>
        </w:rPr>
        <w:t>对比增加</w:t>
      </w:r>
      <w:r>
        <w:rPr>
          <w:rFonts w:hint="eastAsia" w:ascii="方正仿宋_GBK" w:hAnsi="方正仿宋_GBK" w:eastAsia="方正仿宋_GBK" w:cs="方正仿宋_GBK"/>
          <w:kern w:val="0"/>
          <w:sz w:val="32"/>
          <w:szCs w:val="32"/>
          <w:lang w:val="en-US" w:eastAsia="zh-CN"/>
        </w:rPr>
        <w:t>149.53</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增加比例为</w:t>
      </w:r>
      <w:r>
        <w:rPr>
          <w:rFonts w:hint="eastAsia" w:ascii="方正仿宋_GBK" w:hAnsi="方正仿宋_GBK" w:eastAsia="方正仿宋_GBK" w:cs="方正仿宋_GBK"/>
          <w:sz w:val="32"/>
          <w:szCs w:val="32"/>
          <w:lang w:val="en-US" w:eastAsia="zh-CN"/>
        </w:rPr>
        <w:t>289.17%，</w:t>
      </w:r>
      <w:r>
        <w:rPr>
          <w:rFonts w:hint="eastAsia" w:ascii="方正仿宋_GBK" w:hAnsi="方正仿宋_GBK" w:eastAsia="方正仿宋_GBK" w:cs="方正仿宋_GBK"/>
          <w:sz w:val="32"/>
          <w:szCs w:val="32"/>
        </w:rPr>
        <w:t>主要</w:t>
      </w:r>
      <w:r>
        <w:rPr>
          <w:rFonts w:hint="eastAsia" w:ascii="方正仿宋_GBK" w:hAnsi="方正仿宋_GBK" w:eastAsia="方正仿宋_GBK" w:cs="方正仿宋_GBK"/>
          <w:kern w:val="0"/>
          <w:sz w:val="32"/>
          <w:szCs w:val="32"/>
        </w:rPr>
        <w:t>原因分析</w:t>
      </w:r>
      <w:r>
        <w:rPr>
          <w:rFonts w:hint="eastAsia" w:ascii="方正仿宋_GBK" w:hAnsi="方正仿宋_GBK" w:eastAsia="方正仿宋_GBK" w:cs="方正仿宋_GBK"/>
          <w:kern w:val="0"/>
          <w:sz w:val="32"/>
          <w:szCs w:val="32"/>
          <w:lang w:eastAsia="zh-CN"/>
        </w:rPr>
        <w:t>人员增加，财政投入加大</w:t>
      </w:r>
      <w:r>
        <w:rPr>
          <w:rFonts w:hint="eastAsia" w:ascii="方正仿宋_GBK" w:hAnsi="方正仿宋_GBK" w:eastAsia="方正仿宋_GBK" w:cs="方正仿宋_GBK"/>
          <w:kern w:val="0"/>
          <w:sz w:val="32"/>
          <w:szCs w:val="32"/>
        </w:rPr>
        <w:t>。部门机关运行经费主要用于</w:t>
      </w:r>
      <w:r>
        <w:rPr>
          <w:rFonts w:hint="eastAsia" w:ascii="方正仿宋_GBK" w:hAnsi="方正仿宋_GBK" w:eastAsia="方正仿宋_GBK" w:cs="方正仿宋_GBK"/>
          <w:kern w:val="0"/>
          <w:sz w:val="32"/>
          <w:szCs w:val="32"/>
          <w:lang w:eastAsia="zh-CN"/>
        </w:rPr>
        <w:t>卫计系统保运转，日常公用开支</w:t>
      </w:r>
      <w:r>
        <w:rPr>
          <w:rFonts w:hint="eastAsia" w:ascii="方正仿宋_GBK" w:hAnsi="方正仿宋_GBK" w:eastAsia="方正仿宋_GBK" w:cs="方正仿宋_GBK"/>
          <w:kern w:val="0"/>
          <w:sz w:val="32"/>
          <w:szCs w:val="32"/>
        </w:rPr>
        <w:t>。</w:t>
      </w:r>
    </w:p>
    <w:p>
      <w:pPr>
        <w:widowControl/>
        <w:numPr>
          <w:ilvl w:val="0"/>
          <w:numId w:val="0"/>
        </w:numPr>
        <w:snapToGrid w:val="0"/>
        <w:spacing w:before="100" w:after="100" w:line="360" w:lineRule="auto"/>
        <w:ind w:firstLine="643" w:firstLineChars="200"/>
        <w:jc w:val="left"/>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eastAsia="zh-CN"/>
        </w:rPr>
        <w:t>六、</w:t>
      </w:r>
      <w:r>
        <w:rPr>
          <w:rFonts w:hint="eastAsia" w:ascii="方正仿宋_GBK" w:hAnsi="方正仿宋_GBK" w:eastAsia="方正仿宋_GBK" w:cs="方正仿宋_GBK"/>
          <w:b/>
          <w:bCs/>
          <w:sz w:val="32"/>
          <w:szCs w:val="32"/>
        </w:rPr>
        <w:t>政府采购情况说明</w:t>
      </w:r>
    </w:p>
    <w:p>
      <w:pPr>
        <w:widowControl/>
        <w:snapToGrid w:val="0"/>
        <w:spacing w:before="100" w:after="100" w:line="360" w:lineRule="auto"/>
        <w:ind w:firstLine="6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lang w:eastAsia="zh-CN"/>
        </w:rPr>
        <w:t>盈江县卫计系统</w:t>
      </w:r>
      <w:r>
        <w:rPr>
          <w:rFonts w:hint="eastAsia" w:ascii="方正仿宋_GBK" w:hAnsi="方正仿宋_GBK" w:eastAsia="方正仿宋_GBK" w:cs="方正仿宋_GBK"/>
          <w:sz w:val="32"/>
          <w:szCs w:val="32"/>
          <w:lang w:val="en-US" w:eastAsia="zh-CN"/>
        </w:rPr>
        <w:t>2017</w:t>
      </w:r>
      <w:r>
        <w:rPr>
          <w:rFonts w:hint="eastAsia" w:ascii="方正仿宋_GBK" w:hAnsi="方正仿宋_GBK" w:eastAsia="方正仿宋_GBK" w:cs="方正仿宋_GBK"/>
          <w:sz w:val="32"/>
          <w:szCs w:val="32"/>
        </w:rPr>
        <w:t>年部门预算政府采购经费</w:t>
      </w:r>
      <w:r>
        <w:rPr>
          <w:rFonts w:hint="eastAsia" w:ascii="方正仿宋_GBK" w:hAnsi="方正仿宋_GBK" w:eastAsia="方正仿宋_GBK" w:cs="方正仿宋_GBK"/>
          <w:sz w:val="32"/>
          <w:szCs w:val="32"/>
          <w:lang w:val="en-US" w:eastAsia="zh-CN"/>
        </w:rPr>
        <w:t>4631.43</w:t>
      </w:r>
      <w:r>
        <w:rPr>
          <w:rFonts w:hint="eastAsia" w:ascii="方正仿宋_GBK" w:hAnsi="方正仿宋_GBK" w:eastAsia="方正仿宋_GBK" w:cs="方正仿宋_GBK"/>
          <w:sz w:val="32"/>
          <w:szCs w:val="32"/>
        </w:rPr>
        <w:t>万元，</w:t>
      </w:r>
      <w:r>
        <w:rPr>
          <w:rFonts w:hint="eastAsia" w:ascii="方正仿宋_GBK" w:hAnsi="方正仿宋_GBK" w:eastAsia="方正仿宋_GBK" w:cs="方正仿宋_GBK"/>
          <w:kern w:val="0"/>
          <w:sz w:val="32"/>
          <w:szCs w:val="32"/>
        </w:rPr>
        <w:t>与上年</w:t>
      </w:r>
      <w:r>
        <w:rPr>
          <w:rFonts w:hint="eastAsia" w:ascii="方正仿宋_GBK" w:hAnsi="方正仿宋_GBK" w:eastAsia="方正仿宋_GBK" w:cs="方正仿宋_GBK"/>
          <w:sz w:val="32"/>
          <w:szCs w:val="32"/>
          <w:lang w:val="en-US" w:eastAsia="zh-CN"/>
        </w:rPr>
        <w:t>4599.27</w:t>
      </w:r>
      <w:r>
        <w:rPr>
          <w:rFonts w:hint="eastAsia" w:ascii="方正仿宋_GBK" w:hAnsi="方正仿宋_GBK" w:eastAsia="方正仿宋_GBK" w:cs="方正仿宋_GBK"/>
          <w:kern w:val="0"/>
          <w:sz w:val="32"/>
          <w:szCs w:val="32"/>
          <w:lang w:val="en-US" w:eastAsia="zh-CN"/>
        </w:rPr>
        <w:t>万元</w:t>
      </w:r>
      <w:r>
        <w:rPr>
          <w:rFonts w:hint="eastAsia" w:ascii="方正仿宋_GBK" w:hAnsi="方正仿宋_GBK" w:eastAsia="方正仿宋_GBK" w:cs="方正仿宋_GBK"/>
          <w:kern w:val="0"/>
          <w:sz w:val="32"/>
          <w:szCs w:val="32"/>
        </w:rPr>
        <w:t>对比增加</w:t>
      </w:r>
      <w:r>
        <w:rPr>
          <w:rFonts w:hint="eastAsia" w:ascii="方正仿宋_GBK" w:hAnsi="方正仿宋_GBK" w:eastAsia="方正仿宋_GBK" w:cs="方正仿宋_GBK"/>
          <w:kern w:val="0"/>
          <w:sz w:val="32"/>
          <w:szCs w:val="32"/>
          <w:lang w:val="en-US" w:eastAsia="zh-CN"/>
        </w:rPr>
        <w:t>32.16</w:t>
      </w:r>
      <w:r>
        <w:rPr>
          <w:rFonts w:hint="eastAsia" w:ascii="方正仿宋_GBK" w:hAnsi="方正仿宋_GBK" w:eastAsia="方正仿宋_GBK" w:cs="方正仿宋_GBK"/>
          <w:sz w:val="32"/>
          <w:szCs w:val="32"/>
          <w:lang w:val="en-US" w:eastAsia="zh-CN"/>
        </w:rPr>
        <w:t>万元，增长0.7%。</w:t>
      </w:r>
      <w:r>
        <w:rPr>
          <w:rFonts w:hint="eastAsia" w:ascii="方正仿宋_GBK" w:hAnsi="方正仿宋_GBK" w:eastAsia="方正仿宋_GBK" w:cs="方正仿宋_GBK"/>
          <w:kern w:val="0"/>
          <w:sz w:val="32"/>
          <w:szCs w:val="32"/>
        </w:rPr>
        <w:t>政府采购预算主要用于</w:t>
      </w:r>
      <w:r>
        <w:rPr>
          <w:rFonts w:hint="eastAsia" w:ascii="方正仿宋_GBK" w:hAnsi="方正仿宋_GBK" w:eastAsia="方正仿宋_GBK" w:cs="方正仿宋_GBK"/>
          <w:kern w:val="0"/>
          <w:sz w:val="32"/>
          <w:szCs w:val="32"/>
          <w:lang w:eastAsia="zh-CN"/>
        </w:rPr>
        <w:t>卫计系统设备采购、工程项目等</w:t>
      </w:r>
      <w:r>
        <w:rPr>
          <w:rFonts w:hint="eastAsia" w:ascii="方正仿宋_GBK" w:hAnsi="方正仿宋_GBK" w:eastAsia="方正仿宋_GBK" w:cs="方正仿宋_GBK"/>
          <w:kern w:val="0"/>
          <w:sz w:val="32"/>
          <w:szCs w:val="32"/>
        </w:rPr>
        <w:t>。</w:t>
      </w:r>
    </w:p>
    <w:p>
      <w:pPr>
        <w:widowControl/>
        <w:numPr>
          <w:ilvl w:val="0"/>
          <w:numId w:val="0"/>
        </w:numPr>
        <w:snapToGrid w:val="0"/>
        <w:spacing w:before="100" w:after="100" w:line="360" w:lineRule="auto"/>
        <w:ind w:firstLine="643" w:firstLineChars="200"/>
        <w:jc w:val="left"/>
        <w:rPr>
          <w:rFonts w:hint="eastAsia" w:ascii="方正仿宋_GBK" w:hAnsi="方正仿宋_GBK" w:eastAsia="方正仿宋_GBK" w:cs="方正仿宋_GBK"/>
          <w:b/>
          <w:bCs/>
          <w:kern w:val="0"/>
          <w:sz w:val="32"/>
          <w:szCs w:val="32"/>
        </w:rPr>
      </w:pPr>
      <w:r>
        <w:rPr>
          <w:rFonts w:hint="eastAsia" w:ascii="方正仿宋_GBK" w:hAnsi="方正仿宋_GBK" w:eastAsia="方正仿宋_GBK" w:cs="方正仿宋_GBK"/>
          <w:b/>
          <w:bCs/>
          <w:kern w:val="0"/>
          <w:sz w:val="32"/>
          <w:szCs w:val="32"/>
          <w:lang w:eastAsia="zh-CN"/>
        </w:rPr>
        <w:t>七、</w:t>
      </w:r>
      <w:r>
        <w:rPr>
          <w:rFonts w:hint="eastAsia" w:ascii="方正仿宋_GBK" w:hAnsi="方正仿宋_GBK" w:eastAsia="方正仿宋_GBK" w:cs="方正仿宋_GBK"/>
          <w:b/>
          <w:bCs/>
          <w:kern w:val="0"/>
          <w:sz w:val="32"/>
          <w:szCs w:val="32"/>
        </w:rPr>
        <w:t>名词解释</w:t>
      </w:r>
    </w:p>
    <w:p>
      <w:pPr>
        <w:pStyle w:val="4"/>
        <w:widowControl/>
        <w:spacing w:beforeAutospacing="0" w:after="225" w:afterAutospacing="0" w:line="360" w:lineRule="atLeast"/>
        <w:ind w:firstLine="320" w:firstLineChars="100"/>
        <w:jc w:val="both"/>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Style w:val="6"/>
          <w:rFonts w:hint="eastAsia" w:ascii="方正仿宋_GBK" w:hAnsi="方正仿宋_GBK" w:eastAsia="方正仿宋_GBK" w:cs="方正仿宋_GBK"/>
          <w:b w:val="0"/>
          <w:color w:val="000000"/>
          <w:sz w:val="32"/>
          <w:szCs w:val="32"/>
        </w:rPr>
        <w:t>财政拨款（补助）收入</w:t>
      </w:r>
      <w:r>
        <w:rPr>
          <w:rFonts w:hint="eastAsia" w:ascii="方正仿宋_GBK" w:hAnsi="方正仿宋_GBK" w:eastAsia="方正仿宋_GBK" w:cs="方正仿宋_GBK"/>
          <w:color w:val="000000"/>
          <w:sz w:val="32"/>
          <w:szCs w:val="32"/>
        </w:rPr>
        <w:t xml:space="preserve">指财政部门当年拨付的资金。 </w:t>
      </w:r>
    </w:p>
    <w:p>
      <w:pPr>
        <w:pStyle w:val="4"/>
        <w:widowControl/>
        <w:spacing w:beforeAutospacing="0" w:after="225" w:afterAutospacing="0" w:line="360" w:lineRule="atLeast"/>
        <w:ind w:firstLine="320" w:firstLineChars="100"/>
        <w:jc w:val="both"/>
        <w:rPr>
          <w:rFonts w:hint="eastAsia" w:ascii="方正仿宋_GBK" w:hAnsi="方正仿宋_GBK" w:eastAsia="方正仿宋_GBK" w:cs="方正仿宋_GBK"/>
          <w:sz w:val="32"/>
          <w:szCs w:val="32"/>
        </w:rPr>
      </w:pPr>
      <w:r>
        <w:rPr>
          <w:rStyle w:val="6"/>
          <w:rFonts w:hint="eastAsia" w:ascii="方正仿宋_GBK" w:hAnsi="方正仿宋_GBK" w:eastAsia="方正仿宋_GBK" w:cs="方正仿宋_GBK"/>
          <w:b w:val="0"/>
          <w:bCs/>
          <w:color w:val="000000"/>
          <w:sz w:val="32"/>
          <w:szCs w:val="32"/>
        </w:rPr>
        <w:t>2.事业收入</w:t>
      </w:r>
      <w:r>
        <w:rPr>
          <w:rFonts w:hint="eastAsia" w:ascii="方正仿宋_GBK" w:hAnsi="方正仿宋_GBK" w:eastAsia="方正仿宋_GBK" w:cs="方正仿宋_GBK"/>
          <w:color w:val="000000"/>
          <w:sz w:val="32"/>
          <w:szCs w:val="32"/>
        </w:rPr>
        <w:t>指事业单位开展业务活动取得的收入。</w:t>
      </w:r>
    </w:p>
    <w:p>
      <w:pPr>
        <w:pStyle w:val="4"/>
        <w:widowControl/>
        <w:spacing w:beforeAutospacing="0" w:after="225" w:afterAutospacing="0" w:line="360" w:lineRule="atLeast"/>
        <w:ind w:left="319" w:leftChars="152" w:firstLine="0" w:firstLineChars="0"/>
        <w:jc w:val="both"/>
        <w:rPr>
          <w:rFonts w:hint="eastAsia" w:ascii="方正仿宋_GBK" w:hAnsi="方正仿宋_GBK" w:eastAsia="方正仿宋_GBK" w:cs="方正仿宋_GBK"/>
          <w:sz w:val="32"/>
          <w:szCs w:val="32"/>
        </w:rPr>
      </w:pPr>
      <w:r>
        <w:rPr>
          <w:rStyle w:val="6"/>
          <w:rFonts w:hint="eastAsia" w:ascii="方正仿宋_GBK" w:hAnsi="方正仿宋_GBK" w:eastAsia="方正仿宋_GBK" w:cs="方正仿宋_GBK"/>
          <w:b w:val="0"/>
          <w:bCs/>
          <w:color w:val="000000"/>
          <w:sz w:val="32"/>
          <w:szCs w:val="32"/>
        </w:rPr>
        <w:t>3.事业单位经营收入</w:t>
      </w:r>
      <w:r>
        <w:rPr>
          <w:rFonts w:hint="eastAsia" w:ascii="方正仿宋_GBK" w:hAnsi="方正仿宋_GBK" w:eastAsia="方正仿宋_GBK" w:cs="方正仿宋_GBK"/>
          <w:color w:val="000000"/>
          <w:sz w:val="32"/>
          <w:szCs w:val="32"/>
        </w:rPr>
        <w:t xml:space="preserve">指事业单位在业务活动之外开展非独立核算经营活动取得的收入。 </w:t>
      </w:r>
    </w:p>
    <w:p>
      <w:pPr>
        <w:pStyle w:val="4"/>
        <w:widowControl/>
        <w:spacing w:beforeAutospacing="0" w:after="225" w:afterAutospacing="0" w:line="360" w:lineRule="atLeast"/>
        <w:ind w:firstLine="320" w:firstLineChars="100"/>
        <w:jc w:val="both"/>
        <w:rPr>
          <w:rFonts w:hint="eastAsia" w:ascii="方正仿宋_GBK" w:hAnsi="方正仿宋_GBK" w:eastAsia="方正仿宋_GBK" w:cs="方正仿宋_GBK"/>
          <w:color w:val="000000"/>
          <w:sz w:val="32"/>
          <w:szCs w:val="32"/>
        </w:rPr>
      </w:pPr>
      <w:r>
        <w:rPr>
          <w:rStyle w:val="6"/>
          <w:rFonts w:hint="eastAsia" w:ascii="方正仿宋_GBK" w:hAnsi="方正仿宋_GBK" w:eastAsia="方正仿宋_GBK" w:cs="方正仿宋_GBK"/>
          <w:b w:val="0"/>
          <w:bCs/>
          <w:color w:val="000000"/>
          <w:sz w:val="32"/>
          <w:szCs w:val="32"/>
        </w:rPr>
        <w:t>4.其他收入</w:t>
      </w:r>
      <w:r>
        <w:rPr>
          <w:rFonts w:hint="eastAsia" w:ascii="方正仿宋_GBK" w:hAnsi="方正仿宋_GBK" w:eastAsia="方正仿宋_GBK" w:cs="方正仿宋_GBK"/>
          <w:color w:val="000000"/>
          <w:sz w:val="32"/>
          <w:szCs w:val="32"/>
        </w:rPr>
        <w:t xml:space="preserve">指预算单位在“财政拨款收入”、“事业收入”、“经营收入”之外取得的收入。 </w:t>
      </w:r>
    </w:p>
    <w:p>
      <w:pPr>
        <w:pStyle w:val="4"/>
        <w:widowControl/>
        <w:spacing w:beforeAutospacing="0" w:after="225" w:afterAutospacing="0" w:line="360" w:lineRule="atLeast"/>
        <w:ind w:firstLine="640" w:firstLineChars="200"/>
        <w:jc w:val="both"/>
        <w:rPr>
          <w:rFonts w:hint="eastAsia" w:ascii="方正仿宋_GBK" w:hAnsi="方正仿宋_GBK" w:eastAsia="方正仿宋_GBK" w:cs="方正仿宋_GBK"/>
          <w:color w:val="000000"/>
          <w:sz w:val="32"/>
          <w:szCs w:val="32"/>
        </w:rPr>
      </w:pPr>
      <w:r>
        <w:rPr>
          <w:rStyle w:val="6"/>
          <w:rFonts w:hint="eastAsia" w:ascii="方正仿宋_GBK" w:hAnsi="方正仿宋_GBK" w:eastAsia="方正仿宋_GBK" w:cs="方正仿宋_GBK"/>
          <w:b w:val="0"/>
          <w:bCs/>
          <w:color w:val="000000"/>
          <w:sz w:val="32"/>
          <w:szCs w:val="32"/>
        </w:rPr>
        <w:t>5.基本支出</w:t>
      </w:r>
      <w:r>
        <w:rPr>
          <w:rFonts w:hint="eastAsia" w:ascii="方正仿宋_GBK" w:hAnsi="方正仿宋_GBK" w:eastAsia="方正仿宋_GBK" w:cs="方正仿宋_GBK"/>
          <w:color w:val="000000"/>
          <w:sz w:val="32"/>
          <w:szCs w:val="32"/>
        </w:rPr>
        <w:t>指为保障机构正常运转、完成日常工作任务而发生的人员支出和公用支出。</w:t>
      </w:r>
    </w:p>
    <w:p>
      <w:pPr>
        <w:pStyle w:val="4"/>
        <w:widowControl/>
        <w:spacing w:beforeAutospacing="0" w:after="225" w:afterAutospacing="0" w:line="360" w:lineRule="atLeast"/>
        <w:ind w:firstLine="640" w:firstLineChars="200"/>
        <w:jc w:val="both"/>
        <w:rPr>
          <w:rFonts w:hint="eastAsia" w:ascii="方正仿宋_GBK" w:hAnsi="方正仿宋_GBK" w:eastAsia="方正仿宋_GBK" w:cs="方正仿宋_GBK"/>
          <w:color w:val="000000"/>
          <w:sz w:val="32"/>
          <w:szCs w:val="32"/>
        </w:rPr>
      </w:pPr>
      <w:r>
        <w:rPr>
          <w:rStyle w:val="6"/>
          <w:rFonts w:hint="eastAsia" w:ascii="方正仿宋_GBK" w:hAnsi="方正仿宋_GBK" w:eastAsia="方正仿宋_GBK" w:cs="方正仿宋_GBK"/>
          <w:b w:val="0"/>
          <w:bCs/>
          <w:color w:val="000000"/>
          <w:sz w:val="32"/>
          <w:szCs w:val="32"/>
        </w:rPr>
        <w:t>6.项目支出</w:t>
      </w:r>
      <w:r>
        <w:rPr>
          <w:rFonts w:hint="eastAsia" w:ascii="方正仿宋_GBK" w:hAnsi="方正仿宋_GBK" w:eastAsia="方正仿宋_GBK" w:cs="方正仿宋_GBK"/>
          <w:color w:val="000000"/>
          <w:sz w:val="32"/>
          <w:szCs w:val="32"/>
        </w:rPr>
        <w:t xml:space="preserve">指在基本支出之外为完成相关行政任务和事业发展目标所发生的支出。 </w:t>
      </w:r>
    </w:p>
    <w:p>
      <w:pPr>
        <w:widowControl/>
        <w:snapToGrid w:val="0"/>
        <w:spacing w:before="100" w:after="100" w:line="360" w:lineRule="auto"/>
        <w:ind w:firstLine="6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7.机关运行经费指行政单位和参照公务员法管理的事业单位使用一般公共预算财政拨款安排的基本支出中的日常公用经费支出。</w:t>
      </w:r>
      <w:r>
        <w:rPr>
          <w:rFonts w:hint="eastAsia" w:ascii="方正仿宋_GBK" w:hAnsi="方正仿宋_GBK" w:eastAsia="方正仿宋_GBK" w:cs="方正仿宋_GBK"/>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13.对个人和家庭的补助反映政府用于对个人和家庭的补助支出。</w:t>
      </w:r>
    </w:p>
    <w:p>
      <w:pPr>
        <w:widowControl/>
        <w:snapToGrid w:val="0"/>
        <w:spacing w:before="100" w:after="100" w:line="360" w:lineRule="auto"/>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14.政府采购是指各级国家机关、事业单位和团体组织，使用财政性资金采购依法制定的集中采购目录以内的或者采购限额标准以上的货物、工程和服务的行为。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spacing w:before="0" w:beforeAutospacing="0" w:after="0" w:afterAutospacing="0" w:line="600" w:lineRule="atLeast"/>
        <w:ind w:left="0" w:right="0" w:firstLine="960" w:firstLineChars="300"/>
        <w:jc w:val="both"/>
        <w:rPr>
          <w:rFonts w:hint="eastAsia" w:ascii="方正仿宋_GBK" w:hAnsi="方正仿宋_GBK" w:eastAsia="方正仿宋_GBK" w:cs="方正仿宋_GBK"/>
          <w:b w:val="0"/>
          <w:i w:val="0"/>
          <w:caps w:val="0"/>
          <w:color w:val="333333"/>
          <w:spacing w:val="0"/>
          <w:sz w:val="32"/>
          <w:szCs w:val="32"/>
        </w:rPr>
      </w:pPr>
    </w:p>
    <w:p>
      <w:pPr>
        <w:keepNext w:val="0"/>
        <w:keepLines w:val="0"/>
        <w:widowControl/>
        <w:suppressLineNumbers w:val="0"/>
        <w:spacing w:before="0" w:beforeAutospacing="0" w:after="0" w:afterAutospacing="0" w:line="600" w:lineRule="atLeast"/>
        <w:ind w:left="0" w:right="0" w:firstLine="420"/>
        <w:jc w:val="both"/>
        <w:rPr>
          <w:rFonts w:hint="eastAsia" w:ascii="方正仿宋_GBK" w:hAnsi="方正仿宋_GBK" w:eastAsia="方正仿宋_GBK" w:cs="方正仿宋_GBK"/>
          <w:b w:val="0"/>
          <w:i w:val="0"/>
          <w:caps w:val="0"/>
          <w:color w:val="333333"/>
          <w:spacing w:val="0"/>
          <w:sz w:val="32"/>
          <w:szCs w:val="32"/>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Lucida Sans">
    <w:panose1 w:val="020B0602030504020204"/>
    <w:charset w:val="00"/>
    <w:family w:val="auto"/>
    <w:pitch w:val="default"/>
    <w:sig w:usb0="00000003" w:usb1="00000000" w:usb2="00000000" w:usb3="00000000" w:csb0="20000001" w:csb1="00000000"/>
  </w:font>
  <w:font w:name="Shruti">
    <w:panose1 w:val="020B0502040204020203"/>
    <w:charset w:val="00"/>
    <w:family w:val="auto"/>
    <w:pitch w:val="default"/>
    <w:sig w:usb0="00040003" w:usb1="00000000" w:usb2="00000000" w:usb3="00000000" w:csb0="0000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C10D67"/>
    <w:rsid w:val="2A7F3EC2"/>
    <w:rsid w:val="35687891"/>
    <w:rsid w:val="3765080D"/>
    <w:rsid w:val="3AAC0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6">
    <w:name w:val="Strong"/>
    <w:basedOn w:val="5"/>
    <w:qFormat/>
    <w:uiPriority w:val="0"/>
    <w:rPr>
      <w:rFonts w:cs="Times New Roman"/>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2017-11-03T08:40:31Z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